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1500" w:after="0"/>
      </w:pPr>
      <w:r>
        <w:rPr>
          <w:rFonts w:ascii="Manrope" w:hAnsi="Manrope" w:cs="Manrope"/>
          <w:b/>
          <w:sz w:val="18"/>
          <w:color w:val="2BA9D4"/>
          <w:spacing w:val="80"/>
        </w:rPr>
        <w:t xml:space="preserve">BRIGHT SPARK AI</w:t>
      </w:r>
    </w:p>
    <w:p>
      <w:pPr>
        <w:spacing w:before="260" w:after="0" w:line="240" w:lineRule="auto"/>
      </w:pPr>
      <w:r>
        <w:rPr>
          <w:rFonts w:ascii="Manrope" w:hAnsi="Manrope" w:cs="Manrope"/>
          <w:b/>
          <w:sz w:val="64"/>
          <w:color w:val="0E2C4A"/>
        </w:rPr>
        <w:t xml:space="preserve">The AI Policy</w:t>
      </w:r>
    </w:p>
    <w:p>
      <w:pPr>
        <w:spacing w:before="0" w:after="300" w:line="240" w:lineRule="auto"/>
        <w:pBdr>
          <w:bottom w:val="single" w:sz="18" w:space="14" w:color="2BA9D4"/>
        </w:pBdr>
      </w:pPr>
      <w:r>
        <w:rPr>
          <w:rFonts w:ascii="Manrope" w:hAnsi="Manrope" w:cs="Manrope"/>
          <w:sz w:val="64"/>
          <w:color w:val="0E2C4A"/>
        </w:rPr>
        <w:t xml:space="preserve">Starter Template</w:t>
      </w:r>
    </w:p>
    <w:p>
      <w:pPr>
        <w:spacing w:before="240" w:after="0" w:line="300" w:lineRule="auto"/>
        <w:ind w:right="2600"/>
      </w:pPr>
      <w:r>
        <w:rPr>
          <w:rFonts w:ascii="Calibri" w:hAnsi="Calibri" w:cs="Calibri"/>
          <w:sz w:val="24"/>
          <w:color w:val="5C6C7A"/>
        </w:rPr>
        <w:t xml:space="preserve">A practical starting point for businesses whose teams are already using AI. Prepared by Charlotte Boundy and the team at Bright Spark AI.</w:t>
      </w:r>
    </w:p>
    <w:p>
      <w:pPr>
        <w:spacing w:before="600" w:after="0"/>
      </w:pPr>
      <w:r>
        <w:rPr>
          <w:rFonts w:ascii="Calibri" w:hAnsi="Calibri" w:cs="Calibri"/>
          <w:sz w:val="20"/>
          <w:color w:val="5C6C7A"/>
          <w:i/>
        </w:rPr>
        <w:t xml:space="preserve">Highlighted fields are yours to replace.</w:t>
      </w:r>
    </w:p>
    <w:p>
      <w:r>
        <w:br w:type="page"/>
      </w:r>
    </w:p>
    <w:p>
      <w:pPr>
        <w:pStyle w:val="Heading1"/>
        <w:spacing w:before="380" w:after="150"/>
        <w:pBdr>
          <w:bottom w:val="single" w:sz="6" w:space="6" w:color="D9E2EA"/>
        </w:pBdr>
      </w:pPr>
      <w:r>
        <w:rPr>
          <w:rFonts w:ascii="Manrope" w:hAnsi="Manrope" w:cs="Manrope"/>
          <w:b/>
          <w:sz w:val="24"/>
          <w:color w:val="0E2C4A"/>
          <w:spacing w:val="30"/>
        </w:rPr>
        <w:t xml:space="preserve">1 · HOW TO USE THIS TEMPLATE</w:t>
      </w:r>
    </w:p>
    <w:p>
      <w:pPr>
        <w:spacing w:before="0" w:after="160" w:line="288" w:lineRule="auto"/>
      </w:pPr>
      <w:r>
        <w:rPr>
          <w:rFonts w:ascii="Calibri" w:hAnsi="Calibri" w:cs="Calibri"/>
          <w:sz w:val="21"/>
          <w:szCs w:val="21"/>
          <w:color w:val="2E3D4C"/>
        </w:rPr>
        <w:t xml:space="preserve">Work through each section with your leadership team, replace every highlighted field, and delete anything that doesn't apply. A policy only protects the business if people know it exists and understand the reasons behind it, so once adapted, walk the team through it rather than filing it.</w:t>
      </w:r>
    </w:p>
    <w:p>
      <w:pPr>
        <w:spacing w:before="0" w:after="160" w:line="288" w:lineRule="auto"/>
      </w:pPr>
      <w:r>
        <w:rPr>
          <w:rFonts w:ascii="Calibri" w:hAnsi="Calibri" w:cs="Calibri"/>
          <w:sz w:val="21"/>
          <w:szCs w:val="21"/>
          <w:color w:val="2E3D4C"/>
        </w:rPr>
        <w:t xml:space="preserve">This template is a starting point, not legal advice. For regulated industries or anything you're unsure of, review the adapted policy with your own legal adviser.</w:t>
      </w:r>
    </w:p>
    <w:p>
      <w:pPr>
        <w:pStyle w:val="Heading1"/>
        <w:spacing w:before="380" w:after="150"/>
        <w:pBdr>
          <w:bottom w:val="single" w:sz="6" w:space="6" w:color="D9E2EA"/>
        </w:pBdr>
      </w:pPr>
      <w:r>
        <w:rPr>
          <w:rFonts w:ascii="Manrope" w:hAnsi="Manrope" w:cs="Manrope"/>
          <w:b/>
          <w:sz w:val="24"/>
          <w:color w:val="0E2C4A"/>
          <w:spacing w:val="30"/>
        </w:rPr>
        <w:t xml:space="preserve">2 · PURPOSE AND SCOPE</w:t>
      </w:r>
    </w:p>
    <w:p>
      <w:pPr>
        <w:spacing w:before="0" w:after="160" w:line="288" w:lineRule="auto"/>
      </w:pPr>
      <w:r>
        <w:rPr>
          <w:rFonts w:ascii="Calibri" w:hAnsi="Calibri" w:cs="Calibri"/>
          <w:sz w:val="21"/>
          <w:szCs w:val="21"/>
          <w:color w:val="2E3D4C"/>
        </w:rPr>
        <w:t xml:space="preserve">This policy sets out how </w:t>
      </w:r>
      <w:r>
        <w:rPr>
          <w:rFonts w:ascii="Calibri" w:hAnsi="Calibri" w:cs="Calibri"/>
          <w:sz w:val="21"/>
          <w:szCs w:val="21"/>
          <w:color w:val="2E3D4C"/>
          <w:highlight w:val="yellow"/>
          <w:b/>
        </w:rPr>
        <w:t xml:space="preserve">[Company name]</w:t>
      </w:r>
      <w:r>
        <w:rPr>
          <w:rFonts w:ascii="Calibri" w:hAnsi="Calibri" w:cs="Calibri"/>
          <w:sz w:val="21"/>
          <w:szCs w:val="21"/>
          <w:color w:val="2E3D4C"/>
        </w:rPr>
        <w:t xml:space="preserve"> uses AI tools safely: protecting client information, meeting our obligations under UK GDPR, and giving every team member a clear line on what is and isn't appropriate. It applies to all employees, contractors and freelancers, on any device used for company work. AI tools include chat assistants (such as ChatGPT, Claude, Copilot and Gemini), AI features inside other software, and any tool that generates content or decisions from data you give it.</w:t>
      </w:r>
    </w:p>
    <w:p>
      <w:pPr>
        <w:pStyle w:val="Heading1"/>
        <w:spacing w:before="380" w:after="150"/>
        <w:pBdr>
          <w:bottom w:val="single" w:sz="6" w:space="6" w:color="D9E2EA"/>
        </w:pBdr>
      </w:pPr>
      <w:r>
        <w:rPr>
          <w:rFonts w:ascii="Manrope" w:hAnsi="Manrope" w:cs="Manrope"/>
          <w:b/>
          <w:sz w:val="24"/>
          <w:color w:val="0E2C4A"/>
          <w:spacing w:val="30"/>
        </w:rPr>
        <w:t xml:space="preserve">3 · APPROVED TOOLS AND TIERS</w:t>
      </w:r>
    </w:p>
    <w:p>
      <w:pPr>
        <w:spacing w:before="0" w:after="160" w:line="288" w:lineRule="auto"/>
      </w:pPr>
      <w:r>
        <w:rPr>
          <w:rFonts w:ascii="Calibri" w:hAnsi="Calibri" w:cs="Calibri"/>
          <w:sz w:val="21"/>
          <w:szCs w:val="21"/>
          <w:color w:val="2E3D4C"/>
        </w:rPr>
        <w:t xml:space="preserve">The plan tier matters more than the brand. Business and enterprise plans handle company data on fundamentally different terms from free ones, which may retain, review or train on what you enter.</w:t>
      </w:r>
    </w:p>
    <w:tbl>
      <w:tblPr>
        <w:tblW w:w="9640" w:type="dxa"/>
        <w:tblBorders>
          <w:top w:val="single" w:sz="4" w:color="D9E2EA"/>
          <w:left w:val="single" w:sz="4" w:color="D9E2EA"/>
          <w:bottom w:val="single" w:sz="4" w:color="D9E2EA"/>
          <w:right w:val="single" w:sz="4" w:color="D9E2EA"/>
          <w:insideH w:val="single" w:sz="4" w:color="D9E2EA"/>
          <w:insideV w:val="single" w:sz="4" w:color="D9E2EA"/>
        </w:tblBorders>
        <w:tblLayout w:type="fixed"/>
      </w:tblPr>
      <w:tblGrid>
        <w:gridCol w:w="2400"/>
        <w:gridCol w:w="2600"/>
        <w:gridCol w:w="4640"/>
      </w:tblGrid>
      <w:tr>
        <w:trPr>
          <w:tblHeader/>
        </w:trPr>
        <w:tc>
          <w:tcPr>
            <w:tcW w:w="2400" w:type="dxa"/>
            <w:shd w:val="clear" w:fill="0E2C4A"/>
            <w:tcMar>
              <w:top w:w="90" w:type="dxa"/>
              <w:bottom w:w="90" w:type="dxa"/>
              <w:left w:w="120" w:type="dxa"/>
              <w:right w:w="120" w:type="dxa"/>
            </w:tcMar>
          </w:tcPr>
          <w:p>
            <w:pPr>
              <w:spacing w:before="20" w:after="20" w:line="264" w:lineRule="auto"/>
            </w:pPr>
            <w:r>
              <w:rPr>
                <w:rFonts w:ascii="Manrope" w:hAnsi="Manrope" w:cs="Manrope"/>
                <w:b/>
                <w:sz w:val="20"/>
                <w:color w:val="FFFFFF"/>
              </w:rPr>
              <w:t xml:space="preserve">Tool</w:t>
            </w:r>
          </w:p>
        </w:tc>
        <w:tc>
          <w:tcPr>
            <w:tcW w:w="2600" w:type="dxa"/>
            <w:shd w:val="clear" w:fill="0E2C4A"/>
            <w:tcMar>
              <w:top w:w="90" w:type="dxa"/>
              <w:bottom w:w="90" w:type="dxa"/>
              <w:left w:w="120" w:type="dxa"/>
              <w:right w:w="120" w:type="dxa"/>
            </w:tcMar>
          </w:tcPr>
          <w:p>
            <w:pPr>
              <w:spacing w:before="20" w:after="20" w:line="264" w:lineRule="auto"/>
            </w:pPr>
            <w:r>
              <w:rPr>
                <w:rFonts w:ascii="Manrope" w:hAnsi="Manrope" w:cs="Manrope"/>
                <w:b/>
                <w:sz w:val="20"/>
                <w:color w:val="FFFFFF"/>
              </w:rPr>
              <w:t xml:space="preserve">Approved plan</w:t>
            </w:r>
          </w:p>
        </w:tc>
        <w:tc>
          <w:tcPr>
            <w:tcW w:w="4640" w:type="dxa"/>
            <w:shd w:val="clear" w:fill="0E2C4A"/>
            <w:tcMar>
              <w:top w:w="90" w:type="dxa"/>
              <w:bottom w:w="90" w:type="dxa"/>
              <w:left w:w="120" w:type="dxa"/>
              <w:right w:w="120" w:type="dxa"/>
            </w:tcMar>
          </w:tcPr>
          <w:p>
            <w:pPr>
              <w:spacing w:before="20" w:after="20" w:line="264" w:lineRule="auto"/>
            </w:pPr>
            <w:r>
              <w:rPr>
                <w:rFonts w:ascii="Manrope" w:hAnsi="Manrope" w:cs="Manrope"/>
                <w:b/>
                <w:sz w:val="20"/>
                <w:color w:val="FFFFFF"/>
              </w:rPr>
              <w:t xml:space="preserve">Approved uses</w:t>
            </w:r>
          </w:p>
        </w:tc>
      </w:tr>
      <w:tr>
        <w:tc>
          <w:tcPr>
            <w:tcW w:w="2400" w:type="dxa"/>
            <w:tcMar>
              <w:top w:w="90" w:type="dxa"/>
              <w:bottom w:w="90" w:type="dxa"/>
              <w:left w:w="120" w:type="dxa"/>
              <w:right w:w="120" w:type="dxa"/>
            </w:tcMar>
          </w:tcPr>
          <w:p>
            <w:pPr>
              <w:spacing w:before="20" w:after="20" w:line="264" w:lineRule="auto"/>
            </w:pPr>
            <w:r>
              <w:rPr>
                <w:rFonts w:ascii="Calibri" w:hAnsi="Calibri" w:cs="Calibri"/>
                <w:b/>
                <w:sz w:val="20"/>
                <w:color w:val="0E2C4A"/>
              </w:rPr>
              <w:t xml:space="preserve">Microsoft Copilot</w:t>
            </w:r>
          </w:p>
        </w:tc>
        <w:tc>
          <w:tcPr>
            <w:tcW w:w="2600" w:type="dx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[Business plan]</w:t>
            </w:r>
          </w:p>
        </w:tc>
        <w:tc>
          <w:tcPr>
            <w:tcW w:w="4640" w:type="dx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[e.g. drafting, summarising, internal documents]</w:t>
            </w:r>
          </w:p>
        </w:tc>
      </w:tr>
      <w:tr>
        <w:tc>
          <w:tcPr>
            <w:tcW w:w="2400" w:type="dxa"/>
            <w:shd w:val="clear" w:fill="F4F7FA"/>
            <w:tcMar>
              <w:top w:w="90" w:type="dxa"/>
              <w:bottom w:w="90" w:type="dxa"/>
              <w:left w:w="120" w:type="dxa"/>
              <w:right w:w="120" w:type="dxa"/>
            </w:tcMar>
          </w:tcPr>
          <w:p>
            <w:pPr>
              <w:spacing w:before="20" w:after="20" w:line="264" w:lineRule="auto"/>
            </w:pPr>
            <w:r>
              <w:rPr>
                <w:rFonts w:ascii="Calibri" w:hAnsi="Calibri" w:cs="Calibri"/>
                <w:b/>
                <w:sz w:val="20"/>
                <w:color w:val="0E2C4A"/>
              </w:rPr>
              <w:t xml:space="preserve">Claude</w:t>
            </w:r>
          </w:p>
        </w:tc>
        <w:tc>
          <w:tcPr>
            <w:tcW w:w="2600" w:type="dxa"/>
            <w:shd w:val="clear" w:fill="F4F7F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[Team plan]</w:t>
            </w:r>
          </w:p>
        </w:tc>
        <w:tc>
          <w:tcPr>
            <w:tcW w:w="4640" w:type="dxa"/>
            <w:shd w:val="clear" w:fill="F4F7F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[e.g. analysis, drafting, research]</w:t>
            </w:r>
          </w:p>
        </w:tc>
      </w:tr>
      <w:tr>
        <w:tc>
          <w:tcPr>
            <w:tcW w:w="2400" w:type="dxa"/>
            <w:tcMar>
              <w:top w:w="90" w:type="dxa"/>
              <w:bottom w:w="90" w:type="dxa"/>
              <w:left w:w="120" w:type="dxa"/>
              <w:right w:w="120" w:type="dxa"/>
            </w:tcMar>
          </w:tcPr>
          <w:p>
            <w:pPr>
              <w:spacing w:before="20" w:after="20" w:line="264" w:lineRule="auto"/>
            </w:pPr>
            <w:r>
              <w:rPr>
                <w:rFonts w:ascii="Calibri" w:hAnsi="Calibri" w:cs="Calibri"/>
                <w:b/>
                <w:sz w:val="20"/>
                <w:color w:val="0E2C4A"/>
              </w:rPr>
              <w:t xml:space="preserve">ChatGPT</w:t>
            </w:r>
          </w:p>
        </w:tc>
        <w:tc>
          <w:tcPr>
            <w:tcW w:w="2600" w:type="dx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[Team or Business plan]</w:t>
            </w:r>
          </w:p>
        </w:tc>
        <w:tc>
          <w:tcPr>
            <w:tcW w:w="4640" w:type="dx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[approved uses]</w:t>
            </w:r>
          </w:p>
        </w:tc>
      </w:tr>
      <w:tr>
        <w:tc>
          <w:tcPr>
            <w:tcW w:w="2400" w:type="dxa"/>
            <w:shd w:val="clear" w:fill="F4F7FA"/>
            <w:tcMar>
              <w:top w:w="90" w:type="dxa"/>
              <w:bottom w:w="90" w:type="dxa"/>
              <w:left w:w="120" w:type="dxa"/>
              <w:right w:w="120" w:type="dxa"/>
            </w:tcMar>
          </w:tcPr>
          <w:p>
            <w:pPr>
              <w:spacing w:before="20" w:after="20" w:line="264" w:lineRule="auto"/>
            </w:pPr>
            <w:r>
              <w:rPr>
                <w:rFonts w:ascii="Calibri" w:hAnsi="Calibri" w:cs="Calibri"/>
                <w:b/>
                <w:sz w:val="20"/>
                <w:color w:val="0E2C4A"/>
              </w:rPr>
              <w:t xml:space="preserve">Gemini</w:t>
            </w:r>
          </w:p>
        </w:tc>
        <w:tc>
          <w:tcPr>
            <w:tcW w:w="2600" w:type="dxa"/>
            <w:shd w:val="clear" w:fill="F4F7F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[Workspace plan]</w:t>
            </w:r>
          </w:p>
        </w:tc>
        <w:tc>
          <w:tcPr>
            <w:tcW w:w="4640" w:type="dxa"/>
            <w:shd w:val="clear" w:fill="F4F7F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[approved uses]</w:t>
            </w:r>
          </w:p>
        </w:tc>
      </w:tr>
      <w:tr>
        <w:tc>
          <w:tcPr>
            <w:tcW w:w="2400" w:type="dxa"/>
            <w:tcMar>
              <w:top w:w="90" w:type="dxa"/>
              <w:bottom w:w="90" w:type="dxa"/>
              <w:left w:w="120" w:type="dxa"/>
              <w:right w:w="120" w:type="dxa"/>
            </w:tcMar>
          </w:tcPr>
          <w:p>
            <w:pPr>
              <w:spacing w:before="20" w:after="20" w:line="264" w:lineRule="auto"/>
            </w:pPr>
            <w:r>
              <w:rPr>
                <w:rFonts w:ascii="Calibri" w:hAnsi="Calibri" w:cs="Calibri"/>
                <w:b/>
                <w:sz w:val="20"/>
                <w:color w:val="0E2C4A"/>
                <w:highlight w:val="yellow"/>
                <w:b/>
              </w:rPr>
              <w:t xml:space="preserve">[Other tools in use]</w:t>
            </w:r>
          </w:p>
        </w:tc>
        <w:tc>
          <w:tcPr>
            <w:tcW w:w="2600" w:type="dx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[plan]</w:t>
            </w:r>
          </w:p>
        </w:tc>
        <w:tc>
          <w:tcPr>
            <w:tcW w:w="4640" w:type="dxa"/>
            <w:tcMar>
              <w:top w:w="90" w:type="dxa"/>
              <w:bottom w:w="90" w:type="dxa"/>
              <w:left w:w="120" w:type="dxa"/>
              <w:right w:w="120" w:type="dxa"/>
            </w:tcMar>
          </w:tcPr>
          <w:p>
            <w:pPr>
              <w:spacing w:before="20" w:after="20" w:line="264" w:lineRule="auto"/>
            </w:pPr>
            <w:r>
              <w:rPr>
                <w:rFonts w:ascii="Calibri" w:hAnsi="Calibri" w:cs="Calibri"/>
                <w:sz w:val="20"/>
                <w:color w:val="2E3D4C"/>
                <w:highlight w:val="yellow"/>
                <w:b/>
              </w:rPr>
              <w:t xml:space="preserve">[uses]</w:t>
            </w:r>
          </w:p>
        </w:tc>
      </w:tr>
    </w:tbl>
    <w:p>
      <w:pPr>
        <w:spacing w:after="0"/>
      </w:pPr>
    </w:p>
    <w:p>
      <w:pPr>
        <w:spacing w:before="0" w:after="160" w:line="288" w:lineRule="auto"/>
      </w:pPr>
      <w:r>
        <w:rPr>
          <w:rFonts w:ascii="Calibri" w:hAnsi="Calibri" w:cs="Calibri"/>
          <w:sz w:val="21"/>
          <w:szCs w:val="21"/>
          <w:color w:val="2E3D4C"/>
        </w:rPr>
        <w:t xml:space="preserve">Free-tier accounts are not approved for any company or client information. Personal accounts are not approved for company work.</w:t>
      </w:r>
    </w:p>
    <w:p>
      <w:pPr>
        <w:pStyle w:val="Heading1"/>
        <w:spacing w:before="380" w:after="150"/>
        <w:pBdr>
          <w:bottom w:val="single" w:sz="6" w:space="6" w:color="D9E2EA"/>
        </w:pBdr>
      </w:pPr>
      <w:r>
        <w:rPr>
          <w:rFonts w:ascii="Manrope" w:hAnsi="Manrope" w:cs="Manrope"/>
          <w:b/>
          <w:sz w:val="24"/>
          <w:color w:val="0E2C4A"/>
          <w:spacing w:val="30"/>
        </w:rPr>
        <w:t xml:space="preserve">4 · WHAT MAY AND MAY NOT ENTER AI TOOLS</w:t>
      </w:r>
    </w:p>
    <w:tbl>
      <w:tblPr>
        <w:tblW w:w="9640" w:type="dxa"/>
        <w:tblBorders>
          <w:top w:val="none" w:sz="0" w:color="auto"/>
          <w:left w:val="none" w:sz="0" w:color="auto"/>
          <w:bottom w:val="none" w:sz="0" w:color="auto"/>
          <w:right w:val="none" w:sz="0" w:color="auto"/>
          <w:insideH w:val="none" w:sz="0" w:color="auto"/>
          <w:insideV w:val="none" w:sz="0" w:color="auto"/>
        </w:tblBorders>
        <w:tblCellSpacing w:w="0" w:type="dxa"/>
        <w:tblLayout w:type="fixed"/>
      </w:tblPr>
      <w:tblGrid>
        <w:gridCol w:w="4820"/>
        <w:gridCol w:w="4820"/>
      </w:tblGrid>
      <w:tr>
        <w:tc>
          <w:tcPr>
            <w:tcW w:w="4820" w:type="dxa"/>
            <w:shd w:val="clear" w:fill="F4F7FA"/>
            <w:tcMar>
              <w:top w:w="160" w:type="dxa"/>
              <w:bottom w:w="160" w:type="dxa"/>
              <w:left w:w="200" w:type="dxa"/>
              <w:right w:w="200" w:type="dxa"/>
            </w:tcMar>
          </w:tcPr>
          <w:p>
            <w:pPr>
              <w:spacing w:before="40" w:after="120"/>
            </w:pPr>
            <w:r>
              <w:rPr>
                <w:rFonts w:ascii="Manrope" w:hAnsi="Manrope" w:cs="Manrope"/>
                <w:b/>
                <w:sz w:val="20"/>
                <w:color w:val="0E2C4A"/>
              </w:rPr>
              <w:t xml:space="preserve">Safe to enter, in approved tools:</w:t>
            </w:r>
          </w:p>
          <w:p>
            <w:pPr>
              <w:numPr>
                <w:ilvl w:val="0"/>
                <w:numId w:val="1"/>
              </w:numPr>
              <w:ind w:left="330" w:hanging="230"/>
              <w:spacing w:after="90" w:line="264" w:lineRule="auto"/>
            </w:pPr>
            <w:r>
              <w:rPr>
                <w:rFonts w:ascii="Calibri" w:hAnsi="Calibri" w:cs="Calibri"/>
                <w:sz w:val="20"/>
                <w:color w:val="2E3D4C"/>
              </w:rPr>
              <w:t xml:space="preserve">Publicly available information</w:t>
            </w:r>
          </w:p>
          <w:p>
            <w:pPr>
              <w:numPr>
                <w:ilvl w:val="0"/>
                <w:numId w:val="1"/>
              </w:numPr>
              <w:ind w:left="330" w:hanging="230"/>
              <w:spacing w:after="90" w:line="264" w:lineRule="auto"/>
            </w:pPr>
            <w:r>
              <w:rPr>
                <w:rFonts w:ascii="Calibri" w:hAnsi="Calibri" w:cs="Calibri"/>
                <w:sz w:val="20"/>
                <w:color w:val="2E3D4C"/>
              </w:rPr>
              <w:t xml:space="preserve">Company material already published (website copy, marketing)</w:t>
            </w:r>
          </w:p>
          <w:p>
            <w:pPr>
              <w:numPr>
                <w:ilvl w:val="0"/>
                <w:numId w:val="1"/>
              </w:numPr>
              <w:ind w:left="330" w:hanging="230"/>
              <w:spacing w:after="90" w:line="264" w:lineRule="auto"/>
            </w:pPr>
            <w:r>
              <w:rPr>
                <w:rFonts w:ascii="Calibri" w:hAnsi="Calibri" w:cs="Calibri"/>
                <w:sz w:val="20"/>
                <w:color w:val="2E3D4C"/>
              </w:rPr>
              <w:t xml:space="preserve">Internal work with no personal or client-identifying details</w:t>
            </w:r>
          </w:p>
          <w:p>
            <w:pPr>
              <w:numPr>
                <w:ilvl w:val="0"/>
                <w:numId w:val="1"/>
              </w:numPr>
              <w:ind w:left="330" w:hanging="230"/>
              <w:spacing w:after="90" w:line="264" w:lineRule="auto"/>
            </w:pPr>
            <w:r>
              <w:rPr>
                <w:rFonts w:ascii="Calibri" w:hAnsi="Calibri" w:cs="Calibri"/>
                <w:sz w:val="20"/>
                <w:color w:val="2E3D4C"/>
              </w:rPr>
              <w:t xml:space="preserve">Data that has been properly anonymised</w:t>
            </w:r>
          </w:p>
        </w:tc>
        <w:tc>
          <w:tcPr>
            <w:tcW w:w="4820" w:type="dxa"/>
            <w:shd w:val="clear" w:fill="FBF3F3"/>
            <w:tcMar>
              <w:top w:w="160" w:type="dxa"/>
              <w:bottom w:w="160" w:type="dxa"/>
              <w:left w:w="200" w:type="dxa"/>
              <w:right w:w="200" w:type="dxa"/>
            </w:tcMar>
          </w:tcPr>
          <w:p>
            <w:pPr>
              <w:spacing w:before="40" w:after="120"/>
            </w:pPr>
            <w:r>
              <w:rPr>
                <w:rFonts w:ascii="Manrope" w:hAnsi="Manrope" w:cs="Manrope"/>
                <w:b/>
                <w:sz w:val="20"/>
                <w:color w:val="A02B2B"/>
              </w:rPr>
              <w:t xml:space="preserve">Never to be entered, in any tool, on any plan:</w:t>
            </w:r>
          </w:p>
          <w:p>
            <w:pPr>
              <w:numPr>
                <w:ilvl w:val="0"/>
                <w:numId w:val="1"/>
              </w:numPr>
              <w:ind w:left="330" w:hanging="230"/>
              <w:spacing w:after="90" w:line="264" w:lineRule="auto"/>
            </w:pPr>
            <w:r>
              <w:rPr>
                <w:rFonts w:ascii="Calibri" w:hAnsi="Calibri" w:cs="Calibri"/>
                <w:sz w:val="20"/>
                <w:color w:val="2E3D4C"/>
              </w:rPr>
              <w:t xml:space="preserve">Client names, addresses, dates of birth or contact details</w:t>
            </w:r>
          </w:p>
          <w:p>
            <w:pPr>
              <w:numPr>
                <w:ilvl w:val="0"/>
                <w:numId w:val="1"/>
              </w:numPr>
              <w:ind w:left="330" w:hanging="230"/>
              <w:spacing w:after="90" w:line="264" w:lineRule="auto"/>
            </w:pPr>
            <w:r>
              <w:rPr>
                <w:rFonts w:ascii="Calibri" w:hAnsi="Calibri" w:cs="Calibri"/>
                <w:sz w:val="20"/>
                <w:color w:val="2E3D4C"/>
              </w:rPr>
              <w:t xml:space="preserve">Financial records, bank details or payroll information</w:t>
            </w:r>
          </w:p>
          <w:p>
            <w:pPr>
              <w:numPr>
                <w:ilvl w:val="0"/>
                <w:numId w:val="1"/>
              </w:numPr>
              <w:ind w:left="330" w:hanging="230"/>
              <w:spacing w:after="90" w:line="264" w:lineRule="auto"/>
            </w:pPr>
            <w:r>
              <w:rPr>
                <w:rFonts w:ascii="Calibri" w:hAnsi="Calibri" w:cs="Calibri"/>
                <w:sz w:val="20"/>
                <w:color w:val="2E3D4C"/>
              </w:rPr>
              <w:t xml:space="preserve">Anything covered by an NDA or client confidentiality agreement</w:t>
            </w:r>
          </w:p>
          <w:p>
            <w:pPr>
              <w:numPr>
                <w:ilvl w:val="0"/>
                <w:numId w:val="1"/>
              </w:numPr>
              <w:ind w:left="330" w:hanging="230"/>
              <w:spacing w:after="90" w:line="264" w:lineRule="auto"/>
            </w:pPr>
            <w:r>
              <w:rPr>
                <w:rFonts w:ascii="Calibri" w:hAnsi="Calibri" w:cs="Calibri"/>
                <w:sz w:val="20"/>
                <w:color w:val="2E3D4C"/>
              </w:rPr>
              <w:t xml:space="preserve">Passwords, logins or security information</w:t>
            </w:r>
          </w:p>
          <w:p>
            <w:pPr>
              <w:numPr>
                <w:ilvl w:val="0"/>
                <w:numId w:val="1"/>
              </w:numPr>
              <w:ind w:left="330" w:hanging="230"/>
              <w:spacing w:after="90" w:line="264" w:lineRule="auto"/>
            </w:pPr>
            <w:r>
              <w:rPr>
                <w:rFonts w:ascii="Calibri" w:hAnsi="Calibri" w:cs="Calibri"/>
                <w:sz w:val="20"/>
                <w:color w:val="2E3D4C"/>
                <w:highlight w:val="yellow"/>
                <w:b/>
              </w:rPr>
              <w:t xml:space="preserve">[Company-specific additions]</w:t>
            </w:r>
          </w:p>
        </w:tc>
      </w:tr>
    </w:tbl>
    <w:p>
      <w:pPr>
        <w:spacing w:after="60"/>
      </w:pPr>
    </w:p>
    <w:p>
      <w:pPr>
        <w:spacing w:before="0" w:after="160" w:line="288" w:lineRule="auto"/>
      </w:pPr>
      <w:r>
        <w:rPr>
          <w:rFonts w:ascii="Calibri" w:hAnsi="Calibri" w:cs="Calibri"/>
          <w:sz w:val="21"/>
          <w:szCs w:val="21"/>
          <w:color w:val="2E3D4C"/>
        </w:rPr>
        <w:t xml:space="preserve">The grey-area rule: if you would not email it to someone outside the company, do not paste it into an AI tool. When unsure, ask </w:t>
      </w:r>
      <w:r>
        <w:rPr>
          <w:rFonts w:ascii="Calibri" w:hAnsi="Calibri" w:cs="Calibri"/>
          <w:sz w:val="21"/>
          <w:szCs w:val="21"/>
          <w:color w:val="2E3D4C"/>
          <w:highlight w:val="yellow"/>
          <w:b/>
        </w:rPr>
        <w:t xml:space="preserve">[name/role]</w:t>
      </w:r>
      <w:r>
        <w:rPr>
          <w:rFonts w:ascii="Calibri" w:hAnsi="Calibri" w:cs="Calibri"/>
          <w:sz w:val="21"/>
          <w:szCs w:val="21"/>
          <w:color w:val="2E3D4C"/>
        </w:rPr>
        <w:t xml:space="preserve"> before entering it.</w:t>
      </w:r>
    </w:p>
    <w:p>
      <w:pPr>
        <w:pStyle w:val="Heading1"/>
        <w:spacing w:before="380" w:after="150"/>
        <w:pBdr>
          <w:bottom w:val="single" w:sz="6" w:space="6" w:color="D9E2EA"/>
        </w:pBdr>
      </w:pPr>
      <w:r>
        <w:rPr>
          <w:rFonts w:ascii="Manrope" w:hAnsi="Manrope" w:cs="Manrope"/>
          <w:b/>
          <w:sz w:val="24"/>
          <w:color w:val="0E2C4A"/>
          <w:spacing w:val="30"/>
        </w:rPr>
        <w:t xml:space="preserve">5 · ACCOUNTS AND ACCESS</w:t>
      </w:r>
    </w:p>
    <w:p>
      <w:pPr>
        <w:spacing w:before="0" w:after="160" w:line="288" w:lineRule="auto"/>
      </w:pPr>
      <w:r>
        <w:rPr>
          <w:rFonts w:ascii="Calibri" w:hAnsi="Calibri" w:cs="Calibri"/>
          <w:sz w:val="21"/>
          <w:szCs w:val="21"/>
          <w:color w:val="2E3D4C"/>
        </w:rPr>
        <w:t xml:space="preserve">Company work happens in company AI accounts only. No shared logins: each team member uses their own account under the company plan, so usage and access can be managed properly. When someone leaves, their AI account access is removed as part of the standard leaver process, alongside email and other systems.</w:t>
      </w:r>
    </w:p>
    <w:p>
      <w:pPr>
        <w:pStyle w:val="Heading1"/>
        <w:spacing w:before="380" w:after="150"/>
        <w:pBdr>
          <w:bottom w:val="single" w:sz="6" w:space="6" w:color="D9E2EA"/>
        </w:pBdr>
      </w:pPr>
      <w:r>
        <w:rPr>
          <w:rFonts w:ascii="Manrope" w:hAnsi="Manrope" w:cs="Manrope"/>
          <w:b/>
          <w:sz w:val="24"/>
          <w:color w:val="0E2C4A"/>
          <w:spacing w:val="30"/>
        </w:rPr>
        <w:t xml:space="preserve">6 · HUMAN REVIEW</w:t>
      </w:r>
    </w:p>
    <w:p>
      <w:pPr>
        <w:spacing w:before="0" w:after="160" w:line="288" w:lineRule="auto"/>
      </w:pPr>
      <w:r>
        <w:rPr>
          <w:rFonts w:ascii="Calibri" w:hAnsi="Calibri" w:cs="Calibri"/>
          <w:sz w:val="21"/>
          <w:szCs w:val="21"/>
          <w:color w:val="2E3D4C"/>
        </w:rPr>
        <w:t xml:space="preserve">AI output is a draft, not a decision. Nothing AI-generated goes to a client, a supplier or the public without review by the person responsible for it. </w:t>
      </w:r>
      <w:r>
        <w:rPr>
          <w:rFonts w:ascii="Calibri" w:hAnsi="Calibri" w:cs="Calibri"/>
          <w:sz w:val="21"/>
          <w:szCs w:val="21"/>
          <w:color w:val="2E3D4C"/>
          <w:highlight w:val="yellow"/>
          <w:b/>
        </w:rPr>
        <w:t xml:space="preserve">[Name/role]</w:t>
      </w:r>
      <w:r>
        <w:rPr>
          <w:rFonts w:ascii="Calibri" w:hAnsi="Calibri" w:cs="Calibri"/>
          <w:sz w:val="21"/>
          <w:szCs w:val="21"/>
          <w:color w:val="2E3D4C"/>
        </w:rPr>
        <w:t xml:space="preserve"> signs off client-facing material, and AI-assisted work carries the same accountability as any other work: the person who sends it owns it.</w:t>
      </w:r>
    </w:p>
    <w:p>
      <w:pPr>
        <w:pStyle w:val="Heading1"/>
        <w:spacing w:before="380" w:after="150"/>
        <w:pBdr>
          <w:bottom w:val="single" w:sz="6" w:space="6" w:color="D9E2EA"/>
        </w:pBdr>
      </w:pPr>
      <w:r>
        <w:rPr>
          <w:rFonts w:ascii="Manrope" w:hAnsi="Manrope" w:cs="Manrope"/>
          <w:b/>
          <w:sz w:val="24"/>
          <w:color w:val="0E2C4A"/>
          <w:spacing w:val="30"/>
        </w:rPr>
        <w:t xml:space="preserve">7 · IF SOMETHING GOES WRONG</w:t>
      </w:r>
    </w:p>
    <w:p>
      <w:pPr>
        <w:spacing w:before="0" w:after="160" w:line="288" w:lineRule="auto"/>
      </w:pPr>
      <w:r>
        <w:rPr>
          <w:rFonts w:ascii="Calibri" w:hAnsi="Calibri" w:cs="Calibri"/>
          <w:sz w:val="21"/>
          <w:szCs w:val="21"/>
          <w:color w:val="2E3D4C"/>
        </w:rPr>
        <w:t xml:space="preserve">If you realise information has been entered somewhere it shouldn't have been, tell </w:t>
      </w:r>
      <w:r>
        <w:rPr>
          <w:rFonts w:ascii="Calibri" w:hAnsi="Calibri" w:cs="Calibri"/>
          <w:sz w:val="21"/>
          <w:szCs w:val="21"/>
          <w:color w:val="2E3D4C"/>
          <w:highlight w:val="yellow"/>
          <w:b/>
        </w:rPr>
        <w:t xml:space="preserve">[name/role]</w:t>
      </w:r>
      <w:r>
        <w:rPr>
          <w:rFonts w:ascii="Calibri" w:hAnsi="Calibri" w:cs="Calibri"/>
          <w:sz w:val="21"/>
          <w:szCs w:val="21"/>
          <w:color w:val="2E3D4C"/>
        </w:rPr>
        <w:t xml:space="preserve"> the same day. Speed matters far more than blame, and reporting an error will never be treated as misconduct. The business would rather correct ten near-misses than discover one incident late.</w:t>
      </w:r>
    </w:p>
    <w:p>
      <w:pPr>
        <w:pStyle w:val="Heading1"/>
        <w:spacing w:before="380" w:after="150"/>
        <w:pBdr>
          <w:bottom w:val="single" w:sz="6" w:space="6" w:color="D9E2EA"/>
        </w:pBdr>
      </w:pPr>
      <w:r>
        <w:rPr>
          <w:rFonts w:ascii="Manrope" w:hAnsi="Manrope" w:cs="Manrope"/>
          <w:b/>
          <w:sz w:val="24"/>
          <w:color w:val="0E2C4A"/>
          <w:spacing w:val="30"/>
        </w:rPr>
        <w:t xml:space="preserve">8 · TRAINING AND REVIEW</w:t>
      </w:r>
    </w:p>
    <w:p>
      <w:pPr>
        <w:spacing w:before="0" w:after="160" w:line="288" w:lineRule="auto"/>
      </w:pPr>
      <w:r>
        <w:rPr>
          <w:rFonts w:ascii="Calibri" w:hAnsi="Calibri" w:cs="Calibri"/>
          <w:sz w:val="21"/>
          <w:szCs w:val="21"/>
          <w:color w:val="2E3D4C"/>
        </w:rPr>
        <w:t xml:space="preserve">Every team member receives training on this policy and on safe, effective AI use, and new starters are trained as part of induction. The policy is reviewed every </w:t>
      </w:r>
      <w:r>
        <w:rPr>
          <w:rFonts w:ascii="Calibri" w:hAnsi="Calibri" w:cs="Calibri"/>
          <w:sz w:val="21"/>
          <w:szCs w:val="21"/>
          <w:color w:val="2E3D4C"/>
          <w:highlight w:val="yellow"/>
          <w:b/>
        </w:rPr>
        <w:t xml:space="preserve">[six]</w:t>
      </w:r>
      <w:r>
        <w:rPr>
          <w:rFonts w:ascii="Calibri" w:hAnsi="Calibri" w:cs="Calibri"/>
          <w:sz w:val="21"/>
          <w:szCs w:val="21"/>
          <w:color w:val="2E3D4C"/>
        </w:rPr>
        <w:t xml:space="preserve"> months, because the tools change faster than most policies do. Policy owner: </w:t>
      </w:r>
      <w:r>
        <w:rPr>
          <w:rFonts w:ascii="Calibri" w:hAnsi="Calibri" w:cs="Calibri"/>
          <w:sz w:val="21"/>
          <w:szCs w:val="21"/>
          <w:color w:val="2E3D4C"/>
          <w:highlight w:val="yellow"/>
          <w:b/>
        </w:rPr>
        <w:t xml:space="preserve">[name/role]</w:t>
      </w:r>
      <w:r>
        <w:rPr>
          <w:rFonts w:ascii="Calibri" w:hAnsi="Calibri" w:cs="Calibri"/>
          <w:sz w:val="21"/>
          <w:szCs w:val="21"/>
          <w:color w:val="2E3D4C"/>
        </w:rPr>
        <w:t xml:space="preserve">. Last reviewed: </w:t>
      </w:r>
      <w:r>
        <w:rPr>
          <w:rFonts w:ascii="Calibri" w:hAnsi="Calibri" w:cs="Calibri"/>
          <w:sz w:val="21"/>
          <w:szCs w:val="21"/>
          <w:color w:val="2E3D4C"/>
          <w:highlight w:val="yellow"/>
          <w:b/>
        </w:rPr>
        <w:t xml:space="preserve">[date]</w:t>
      </w:r>
      <w:r>
        <w:rPr>
          <w:rFonts w:ascii="Calibri" w:hAnsi="Calibri" w:cs="Calibri"/>
          <w:sz w:val="21"/>
          <w:szCs w:val="21"/>
          <w:color w:val="2E3D4C"/>
        </w:rPr>
        <w:t xml:space="preserve">.</w:t>
      </w:r>
    </w:p>
    <w:p>
      <w:r>
        <w:br w:type="page"/>
      </w:r>
    </w:p>
    <w:p>
      <w:pPr>
        <w:spacing w:before="1200" w:after="0"/>
      </w:pPr>
      <w:r>
        <w:rPr>
          <w:rFonts w:ascii="Manrope" w:hAnsi="Manrope" w:cs="Manrope"/>
          <w:b/>
          <w:sz w:val="18"/>
          <w:color w:val="2BA9D4"/>
          <w:spacing w:val="80"/>
        </w:rPr>
        <w:t xml:space="preserve">BRIGHT SPARK AI</w:t>
      </w:r>
    </w:p>
    <w:p>
      <w:pPr>
        <w:spacing w:before="200" w:after="260" w:line="240" w:lineRule="auto"/>
        <w:pBdr>
          <w:bottom w:val="single" w:sz="18" w:space="14" w:color="2BA9D4"/>
        </w:pBdr>
      </w:pPr>
      <w:r>
        <w:rPr>
          <w:rFonts w:ascii="Manrope" w:hAnsi="Manrope" w:cs="Manrope"/>
          <w:b/>
          <w:sz w:val="48"/>
          <w:color w:val="0E2C4A"/>
        </w:rPr>
        <w:t xml:space="preserve">Make it yours.</w:t>
      </w:r>
    </w:p>
    <w:p>
      <w:pPr>
        <w:spacing w:before="120" w:after="320" w:line="300" w:lineRule="auto"/>
        <w:ind w:right="1800"/>
      </w:pPr>
      <w:r>
        <w:rPr>
          <w:rFonts w:ascii="Calibri" w:hAnsi="Calibri" w:cs="Calibri"/>
          <w:sz w:val="24"/>
          <w:color w:val="2E3D4C"/>
        </w:rPr>
        <w:t xml:space="preserve">This template is maintained by Bright Spark AI, an AI audit, education and automation agency working with UK businesses from solo founders to £30M companies. For a policy tailored to your business, implemented through hands-on training, book a 20-minute scoping call.</w:t>
      </w:r>
    </w:p>
    <w:p>
      <w:pPr>
        <w:spacing w:before="0" w:after="0" w:line="288" w:lineRule="auto"/>
      </w:pPr>
      <w:r>
        <w:rPr>
          <w:rFonts w:ascii="Manrope" w:hAnsi="Manrope" w:cs="Manrope"/>
          <w:b/>
          <w:sz w:val="24"/>
          <w:color w:val="2BA9D4"/>
        </w:rPr>
        <w:t xml:space="preserve">brightsparkai.co.uk · charlotte@brightsparkai.co.uk</w:t>
      </w:r>
    </w:p>
    <w:sectPr>
      <w:pgSz w:w="11906" w:h="16838"/>
      <w:pgMar w:top="1418" w:right="1134" w:bottom="1418" w:left="1134" w:header="720" w:footer="567" w:gutter="0"/>
      <w:footerReference w:type="default" r:id="rIdF"/>
    </w:sectPr>
  </w:body>
</w:document>
</file>

<file path=word/footer1.xml><?xml version="1.0" encoding="utf-8"?>
<w:ftr xmlns:w="http://schemas.openxmlformats.org/wordprocessingml/2006/main">
  <w:p>
    <w:pPr>
      <w:tabs>
        <w:tab w:val="right" w:pos="9638"/>
      </w:tabs>
      <w:spacing w:after="0"/>
    </w:pPr>
    <w:r>
      <w:rPr>
        <w:rFonts w:ascii="Calibri" w:hAnsi="Calibri" w:cs="Calibri"/>
        <w:sz w:val="16"/>
        <w:color w:val="9AA8B4"/>
      </w:rPr>
      <w:t>The AI Policy Starter Template · Bright Spark AI</w:t>
    </w:r>
    <w:r>
      <w:rPr>
        <w:rFonts w:ascii="Calibri" w:hAnsi="Calibri" w:cs="Calibri"/>
        <w:sz w:val="16"/>
        <w:color w:val="9AA8B4"/>
      </w:rPr>
      <w:tab/>
    </w:r>
    <w:fldSimple w:instr="PAGE">
      <w:r>
        <w:rPr>
          <w:rFonts w:ascii="Calibri" w:hAnsi="Calibri" w:cs="Calibri"/>
          <w:sz w:val="16"/>
          <w:color w:val="9AA8B4"/>
        </w:rP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40"/>
      </w:pPr>
      <w:rPr>
        <w:rFonts w:ascii="Symbol" w:hAnsi="Symbol" w:hint="default"/>
        <w:color w:val="2BA9D4"/>
      </w:rPr>
    </w:lvl>
  </w:abstractNum>
  <w:num w:numId="1">
    <w:abstractNumId w:val="0"/>
  </w:num>
</w:numbering>
</file>

<file path=word/styles.xml><?xml version="1.0" encoding="utf-8"?>
<w:styles xmlns:w="http://schemas.openxmlformats.org/wordprocessingml/2006/main">
  <w:docDefaults>
    <w:rPrDefault>
      <w:rPr>
        <w:rFonts w:ascii="Calibri" w:hAnsi="Calibri" w:cs="Calibri"/>
        <w:sz w:val="21"/>
        <w:color w:val="2E3D4C"/>
        <w:lang w:val="en-GB"/>
      </w:rPr>
    </w:rPrDefault>
    <w:pPrDefault>
      <w:pPr>
        <w:spacing w:after="160" w:line="288" w:lineRule="auto"/>
      </w:pPr>
    </w:pPrDefault>
  </w:docDefaults>
  <w:style w:type="paragraph" w:default="1" w:styleId="Normal">
    <w:name w:val="Normal"/>
    <w:qFormat/>
  </w:style>
  <w:style w:type="paragraph" w:styleId="Heading1">
    <w:name w:val="heading 1"/>
    <w:basedOn w:val="Normal"/>
    <w:next w:val="Normal"/>
    <w:qFormat/>
    <w:pPr>
      <w:outlineLvl w:val="0"/>
      <w:keepNext/>
    </w:pPr>
    <w:rPr>
      <w:rFonts w:ascii="Manrope" w:hAnsi="Manrope" w:cs="Manrope"/>
      <w:b/>
      <w:sz w:val="24"/>
      <w:color w:val="0E2C4A"/>
    </w:rPr>
  </w:style>
  <w:style w:type="paragraph" w:styleId="ListParagraph">
    <w:name w:val="List Paragraph"/>
    <w:basedOn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F" Type="http://schemas.openxmlformats.org/officeDocument/2006/relationships/footer" Target="footer1.xml"/></Relationships>
</file>

<file path=docProps/app.xml><?xml version="1.0" encoding="utf-8"?>
<Properties xmlns="http://schemas.openxmlformats.org/officeDocument/2006/extended-properties">
  <Application>Microsoft Office Word</Application>
  <Company>Bright Spark AI</Company>
</Properties>
</file>

<file path=docProps/core.xml><?xml version="1.0" encoding="utf-8"?>
<cp:coreProperties xmlns:cp="http://schemas.openxmlformats.org/package/2006/metadata/core-properties" xmlns:dc="http://purl.org/dc/elements/1.1/">
  <dc:title>The AI Policy Starter Template</dc:title>
  <dc:creator>Bright Spark AI</dc:creator>
  <cp:lastModifiedBy>Bright Spark AI</cp:lastModifiedBy>
</cp:coreProperties>
</file>